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1178" w:type="dxa"/>
        <w:tblLook w:val="04A0" w:firstRow="1" w:lastRow="0" w:firstColumn="1" w:lastColumn="0" w:noHBand="0" w:noVBand="1"/>
      </w:tblPr>
      <w:tblGrid>
        <w:gridCol w:w="11178"/>
      </w:tblGrid>
      <w:tr w:rsidR="00C07CDC" w:rsidRPr="002278CC" w14:paraId="5DCB5856" w14:textId="77777777" w:rsidTr="009007C0">
        <w:trPr>
          <w:trHeight w:val="284"/>
        </w:trPr>
        <w:tc>
          <w:tcPr>
            <w:tcW w:w="11178" w:type="dxa"/>
          </w:tcPr>
          <w:p w14:paraId="2105278F" w14:textId="67106504" w:rsidR="00C07CDC" w:rsidRPr="002278CC" w:rsidRDefault="00F07544" w:rsidP="00FB2611">
            <w:pPr>
              <w:jc w:val="center"/>
              <w:rPr>
                <w:rFonts w:cstheme="minorHAnsi"/>
                <w:b/>
                <w:bCs/>
                <w:color w:val="70AD47" w:themeColor="accent6"/>
                <w:sz w:val="32"/>
                <w:szCs w:val="32"/>
              </w:rPr>
            </w:pPr>
            <w:bookmarkStart w:id="0" w:name="_Hlk114147341"/>
            <w:r w:rsidRPr="002278CC">
              <w:rPr>
                <w:rFonts w:cstheme="minorHAnsi"/>
                <w:b/>
                <w:bCs/>
                <w:color w:val="538135" w:themeColor="accent6" w:themeShade="BF"/>
                <w:sz w:val="32"/>
                <w:szCs w:val="32"/>
                <w:u w:val="single"/>
              </w:rPr>
              <w:t>Devoir Surveillé</w:t>
            </w:r>
            <w:r w:rsidR="002F295D" w:rsidRPr="002278CC">
              <w:rPr>
                <w:rFonts w:cstheme="minorHAnsi"/>
                <w:b/>
                <w:bCs/>
                <w:color w:val="538135" w:themeColor="accent6" w:themeShade="BF"/>
                <w:sz w:val="32"/>
                <w:szCs w:val="32"/>
                <w:u w:val="single"/>
              </w:rPr>
              <w:t xml:space="preserve"> (correction)</w:t>
            </w:r>
          </w:p>
        </w:tc>
      </w:tr>
      <w:tr w:rsidR="009007C0" w:rsidRPr="007666B9" w14:paraId="5AE2DD2E" w14:textId="77777777" w:rsidTr="007D78C6">
        <w:tblPrEx>
          <w:tblCellMar>
            <w:left w:w="70" w:type="dxa"/>
            <w:right w:w="70" w:type="dxa"/>
          </w:tblCellMar>
        </w:tblPrEx>
        <w:trPr>
          <w:trHeight w:val="284"/>
        </w:trPr>
        <w:tc>
          <w:tcPr>
            <w:tcW w:w="11178" w:type="dxa"/>
          </w:tcPr>
          <w:p w14:paraId="4C4C0274" w14:textId="365A65E3" w:rsidR="009007C0" w:rsidRPr="009007C0" w:rsidRDefault="009007C0" w:rsidP="009007C0">
            <w:pPr>
              <w:rPr>
                <w:b/>
                <w:bCs/>
                <w:sz w:val="28"/>
                <w:szCs w:val="28"/>
                <w:u w:val="single"/>
              </w:rPr>
            </w:pPr>
            <w:r w:rsidRPr="009007C0">
              <w:rPr>
                <w:b/>
                <w:bCs/>
                <w:color w:val="1F4E79" w:themeColor="accent5" w:themeShade="80"/>
                <w:sz w:val="28"/>
                <w:szCs w:val="28"/>
                <w:u w:val="single"/>
              </w:rPr>
              <w:t xml:space="preserve">Exercice 1 : </w:t>
            </w:r>
            <w:r>
              <w:rPr>
                <w:b/>
                <w:bCs/>
                <w:sz w:val="28"/>
                <w:szCs w:val="28"/>
              </w:rPr>
              <w:t>(</w:t>
            </w:r>
            <w:r w:rsidR="00715616">
              <w:rPr>
                <w:b/>
                <w:bCs/>
                <w:sz w:val="28"/>
                <w:szCs w:val="28"/>
              </w:rPr>
              <w:t>8</w:t>
            </w:r>
            <w:r w:rsidRPr="009007C0">
              <w:rPr>
                <w:b/>
                <w:bCs/>
                <w:sz w:val="28"/>
                <w:szCs w:val="28"/>
              </w:rPr>
              <w:t xml:space="preserve"> points</w:t>
            </w:r>
            <w:r>
              <w:rPr>
                <w:b/>
                <w:bCs/>
                <w:sz w:val="28"/>
                <w:szCs w:val="28"/>
              </w:rPr>
              <w:t>)</w:t>
            </w:r>
          </w:p>
          <w:p w14:paraId="0C8E1849" w14:textId="14DD725C" w:rsidR="006C575A" w:rsidRDefault="006C575A" w:rsidP="00162C08">
            <w:pPr>
              <w:jc w:val="both"/>
              <w:rPr>
                <w:i/>
                <w:iCs/>
              </w:rPr>
            </w:pPr>
            <w:r>
              <w:rPr>
                <w:b/>
                <w:bCs/>
                <w:u w:val="single"/>
              </w:rPr>
              <w:t>Question 1 :</w:t>
            </w:r>
            <w:r w:rsidR="007D78C6">
              <w:t xml:space="preserve"> </w:t>
            </w:r>
            <w:r w:rsidR="00F831C8">
              <w:rPr>
                <w:b/>
                <w:bCs/>
              </w:rPr>
              <w:t>Co</w:t>
            </w:r>
            <w:r w:rsidR="00F831C8" w:rsidRPr="00E43437">
              <w:rPr>
                <w:b/>
                <w:bCs/>
              </w:rPr>
              <w:t xml:space="preserve">mment </w:t>
            </w:r>
            <w:r w:rsidR="00F831C8">
              <w:rPr>
                <w:b/>
                <w:bCs/>
              </w:rPr>
              <w:t>a</w:t>
            </w:r>
            <w:r w:rsidR="00F831C8" w:rsidRPr="00E43437">
              <w:rPr>
                <w:b/>
                <w:bCs/>
              </w:rPr>
              <w:t xml:space="preserve"> évolué l</w:t>
            </w:r>
            <w:r w:rsidR="00F831C8">
              <w:rPr>
                <w:b/>
                <w:bCs/>
              </w:rPr>
              <w:t>e</w:t>
            </w:r>
            <w:r w:rsidR="00F831C8" w:rsidRPr="00E43437">
              <w:rPr>
                <w:b/>
                <w:bCs/>
              </w:rPr>
              <w:t xml:space="preserve"> coût de financement </w:t>
            </w:r>
            <w:r w:rsidR="00F831C8">
              <w:rPr>
                <w:b/>
                <w:bCs/>
              </w:rPr>
              <w:t xml:space="preserve">externe (crédit bancaire et marchés financiers) </w:t>
            </w:r>
            <w:r w:rsidR="00F831C8" w:rsidRPr="00E43437">
              <w:rPr>
                <w:b/>
                <w:bCs/>
              </w:rPr>
              <w:t xml:space="preserve">des sociétés non financières </w:t>
            </w:r>
            <w:r w:rsidR="00F831C8">
              <w:rPr>
                <w:b/>
                <w:bCs/>
              </w:rPr>
              <w:t xml:space="preserve">en France depuis août 2021 ?  </w:t>
            </w:r>
            <w:r w:rsidR="00E43437">
              <w:rPr>
                <w:b/>
                <w:bCs/>
              </w:rPr>
              <w:t xml:space="preserve"> </w:t>
            </w:r>
            <w:r w:rsidR="00E43437" w:rsidRPr="00E43437">
              <w:rPr>
                <w:i/>
                <w:iCs/>
              </w:rPr>
              <w:t>(2 points)</w:t>
            </w:r>
          </w:p>
          <w:p w14:paraId="2EB24144" w14:textId="790BF301" w:rsidR="00D402D5" w:rsidRDefault="00D402D5" w:rsidP="00162C08">
            <w:pPr>
              <w:jc w:val="both"/>
              <w:rPr>
                <w:i/>
                <w:iCs/>
              </w:rPr>
            </w:pPr>
            <w:r>
              <w:rPr>
                <w:i/>
                <w:iCs/>
              </w:rPr>
              <w:t xml:space="preserve">Selon la Banque de France, le coût de financement externe des sociétés non financières a augmenté sensiblement </w:t>
            </w:r>
            <w:r w:rsidR="00F831C8">
              <w:rPr>
                <w:i/>
                <w:iCs/>
              </w:rPr>
              <w:t xml:space="preserve">depuis août 2021. </w:t>
            </w:r>
            <w:r w:rsidRPr="00D402D5">
              <w:rPr>
                <w:i/>
                <w:iCs/>
              </w:rPr>
              <w:t xml:space="preserve">En effet, </w:t>
            </w:r>
            <w:r>
              <w:rPr>
                <w:i/>
                <w:iCs/>
              </w:rPr>
              <w:t xml:space="preserve">on peut noter que le taux de marché des </w:t>
            </w:r>
            <w:r w:rsidR="00F831C8">
              <w:rPr>
                <w:i/>
                <w:iCs/>
              </w:rPr>
              <w:t xml:space="preserve">nouveaux </w:t>
            </w:r>
            <w:r>
              <w:rPr>
                <w:i/>
                <w:iCs/>
              </w:rPr>
              <w:t xml:space="preserve">emprunts obligataires </w:t>
            </w:r>
            <w:r w:rsidR="00F831C8">
              <w:rPr>
                <w:i/>
                <w:iCs/>
              </w:rPr>
              <w:t xml:space="preserve">(émission de titres de créance) en France </w:t>
            </w:r>
            <w:r>
              <w:rPr>
                <w:i/>
                <w:iCs/>
              </w:rPr>
              <w:t xml:space="preserve">est passé </w:t>
            </w:r>
            <w:r w:rsidR="00F831C8">
              <w:rPr>
                <w:i/>
                <w:iCs/>
              </w:rPr>
              <w:t>d’un taux inférieur à 1%</w:t>
            </w:r>
            <w:r>
              <w:rPr>
                <w:i/>
                <w:iCs/>
              </w:rPr>
              <w:t xml:space="preserve"> </w:t>
            </w:r>
            <w:r w:rsidR="00F831C8">
              <w:rPr>
                <w:i/>
                <w:iCs/>
              </w:rPr>
              <w:t>en août 2021</w:t>
            </w:r>
            <w:r>
              <w:rPr>
                <w:i/>
                <w:iCs/>
              </w:rPr>
              <w:t xml:space="preserve"> à </w:t>
            </w:r>
            <w:r w:rsidR="00F831C8">
              <w:rPr>
                <w:i/>
                <w:iCs/>
              </w:rPr>
              <w:t>3.5</w:t>
            </w:r>
            <w:r>
              <w:rPr>
                <w:i/>
                <w:iCs/>
              </w:rPr>
              <w:t xml:space="preserve">% en </w:t>
            </w:r>
            <w:r w:rsidR="00F831C8">
              <w:rPr>
                <w:i/>
                <w:iCs/>
              </w:rPr>
              <w:t>août 2024</w:t>
            </w:r>
            <w:r>
              <w:rPr>
                <w:i/>
                <w:iCs/>
              </w:rPr>
              <w:t xml:space="preserve"> (multiple de plus </w:t>
            </w:r>
            <w:r w:rsidR="00F831C8">
              <w:rPr>
                <w:i/>
                <w:iCs/>
              </w:rPr>
              <w:t>3 fois</w:t>
            </w:r>
            <w:r>
              <w:rPr>
                <w:i/>
                <w:iCs/>
              </w:rPr>
              <w:t>). Le coût de financement bancaire a également augmenté</w:t>
            </w:r>
            <w:r w:rsidR="00F831C8">
              <w:rPr>
                <w:i/>
                <w:iCs/>
              </w:rPr>
              <w:t> : le taux d’intérêt des nouveaux crédits aux SNF e</w:t>
            </w:r>
            <w:r>
              <w:rPr>
                <w:i/>
                <w:iCs/>
              </w:rPr>
              <w:t xml:space="preserve">st passé </w:t>
            </w:r>
            <w:r w:rsidR="00F831C8">
              <w:rPr>
                <w:i/>
                <w:iCs/>
              </w:rPr>
              <w:t xml:space="preserve">d’environ 1.5% en août </w:t>
            </w:r>
            <w:r>
              <w:rPr>
                <w:i/>
                <w:iCs/>
              </w:rPr>
              <w:t xml:space="preserve">2021 à </w:t>
            </w:r>
            <w:r w:rsidR="00F831C8">
              <w:rPr>
                <w:i/>
                <w:iCs/>
              </w:rPr>
              <w:t>4.64</w:t>
            </w:r>
            <w:r>
              <w:rPr>
                <w:i/>
                <w:iCs/>
              </w:rPr>
              <w:t xml:space="preserve">% en </w:t>
            </w:r>
            <w:r w:rsidR="00F831C8">
              <w:rPr>
                <w:i/>
                <w:iCs/>
              </w:rPr>
              <w:t>aout 2024 (multiple également supérieur à 3 fois)</w:t>
            </w:r>
            <w:r>
              <w:rPr>
                <w:i/>
                <w:iCs/>
              </w:rPr>
              <w:t>.</w:t>
            </w:r>
          </w:p>
          <w:p w14:paraId="390E815E" w14:textId="361D1762" w:rsidR="00D402D5" w:rsidRPr="00F831C8" w:rsidRDefault="00D402D5" w:rsidP="00162C08">
            <w:pPr>
              <w:jc w:val="both"/>
              <w:rPr>
                <w:i/>
                <w:iCs/>
                <w:highlight w:val="lightGray"/>
              </w:rPr>
            </w:pPr>
            <w:r w:rsidRPr="00F831C8">
              <w:rPr>
                <w:i/>
                <w:iCs/>
                <w:highlight w:val="lightGray"/>
              </w:rPr>
              <w:t>On peut noter</w:t>
            </w:r>
            <w:r w:rsidR="00F831C8" w:rsidRPr="00F831C8">
              <w:rPr>
                <w:i/>
                <w:iCs/>
                <w:highlight w:val="lightGray"/>
              </w:rPr>
              <w:t xml:space="preserve"> que le taux de marché a augmenté dès mi-2021 alors que le taux de crédit n’a commencé à monter qu’à partir de mi-2022, soit un décalage de près de 1 an entre les marchés financiers et les crédits bancaires. </w:t>
            </w:r>
          </w:p>
          <w:p w14:paraId="2AD92E21" w14:textId="7A083692" w:rsidR="00F831C8" w:rsidRDefault="00F831C8" w:rsidP="00162C08">
            <w:pPr>
              <w:jc w:val="both"/>
              <w:rPr>
                <w:i/>
                <w:iCs/>
              </w:rPr>
            </w:pPr>
            <w:r w:rsidRPr="00F831C8">
              <w:rPr>
                <w:i/>
                <w:iCs/>
                <w:highlight w:val="lightGray"/>
              </w:rPr>
              <w:t>On note également que le taux de marché est plus attractif que le taux de crédit bancaire (écart de plus de 1 point de pourcentage en août 2024 : les émissions de titres de créance coûtent 3.5%/an en intérêts contre 4.6%/an pour les crédits).</w:t>
            </w:r>
          </w:p>
          <w:p w14:paraId="5ECED27F" w14:textId="61F369E0" w:rsidR="00E43437" w:rsidRDefault="00E43437" w:rsidP="00162C08">
            <w:pPr>
              <w:jc w:val="both"/>
              <w:rPr>
                <w:i/>
                <w:iCs/>
              </w:rPr>
            </w:pPr>
            <w:r w:rsidRPr="00E43437">
              <w:rPr>
                <w:b/>
                <w:bCs/>
                <w:u w:val="single"/>
              </w:rPr>
              <w:t>Question 2 :</w:t>
            </w:r>
            <w:r>
              <w:rPr>
                <w:b/>
                <w:bCs/>
              </w:rPr>
              <w:t xml:space="preserve"> Indiquez quel peut être l’effet de l’évolution du coût de financement </w:t>
            </w:r>
            <w:r w:rsidR="00F831C8">
              <w:rPr>
                <w:b/>
                <w:bCs/>
              </w:rPr>
              <w:t xml:space="preserve">depuis août 2021 </w:t>
            </w:r>
            <w:r>
              <w:rPr>
                <w:b/>
                <w:bCs/>
              </w:rPr>
              <w:t xml:space="preserve">sur le niveau de l’investissement des sociétés non financières ? </w:t>
            </w:r>
            <w:r w:rsidR="00D402D5">
              <w:rPr>
                <w:b/>
                <w:bCs/>
              </w:rPr>
              <w:t xml:space="preserve">Expliquez le lien entre ces 2 variables. </w:t>
            </w:r>
            <w:r w:rsidRPr="00E43437">
              <w:rPr>
                <w:i/>
                <w:iCs/>
              </w:rPr>
              <w:t>(</w:t>
            </w:r>
            <w:r w:rsidR="00F25CED">
              <w:rPr>
                <w:i/>
                <w:iCs/>
              </w:rPr>
              <w:t>2</w:t>
            </w:r>
            <w:r w:rsidRPr="00E43437">
              <w:rPr>
                <w:i/>
                <w:iCs/>
              </w:rPr>
              <w:t xml:space="preserve"> points)</w:t>
            </w:r>
          </w:p>
          <w:p w14:paraId="6E1A8D15" w14:textId="74DB233A" w:rsidR="00F25CED" w:rsidRDefault="00D402D5" w:rsidP="00162C08">
            <w:pPr>
              <w:jc w:val="both"/>
              <w:rPr>
                <w:i/>
                <w:iCs/>
              </w:rPr>
            </w:pPr>
            <w:r w:rsidRPr="000E699D">
              <w:rPr>
                <w:i/>
                <w:iCs/>
              </w:rPr>
              <w:t xml:space="preserve">La hausse des taux d’intérêt, de marché obligataire et de crédit bancaire, a un effet négatif sur le niveau de l’investissement des entreprises. En effet, lorsque le taux d’intérêt augmente, cela </w:t>
            </w:r>
            <w:r w:rsidR="000E699D" w:rsidRPr="000E699D">
              <w:rPr>
                <w:i/>
                <w:iCs/>
              </w:rPr>
              <w:t>a pour effet d’augmenter le coût de financement, ce qui fait baisser les résultats de l’entreprise et donc son épargne brute. La baisse de l’épargne influe négativement sur l’autofinancement et donc sur l’investissement.</w:t>
            </w:r>
          </w:p>
          <w:p w14:paraId="48B13D06" w14:textId="14C7AB26" w:rsidR="006B1236" w:rsidRDefault="000C5D61" w:rsidP="00E43437">
            <w:pPr>
              <w:jc w:val="both"/>
              <w:rPr>
                <w:i/>
                <w:iCs/>
              </w:rPr>
            </w:pPr>
            <w:r w:rsidRPr="002721B8">
              <w:rPr>
                <w:b/>
                <w:bCs/>
                <w:u w:val="single"/>
              </w:rPr>
              <w:t>Question </w:t>
            </w:r>
            <w:r w:rsidR="00E43437">
              <w:rPr>
                <w:b/>
                <w:bCs/>
                <w:u w:val="single"/>
              </w:rPr>
              <w:t>3</w:t>
            </w:r>
            <w:r>
              <w:rPr>
                <w:b/>
                <w:bCs/>
                <w:u w:val="single"/>
              </w:rPr>
              <w:t> :</w:t>
            </w:r>
            <w:r>
              <w:t xml:space="preserve"> </w:t>
            </w:r>
            <w:r w:rsidR="00BD2484" w:rsidRPr="004E247B">
              <w:rPr>
                <w:b/>
                <w:bCs/>
              </w:rPr>
              <w:t xml:space="preserve">Quelles différences juridiques et </w:t>
            </w:r>
            <w:r w:rsidR="00F25B64">
              <w:rPr>
                <w:b/>
                <w:bCs/>
              </w:rPr>
              <w:t>financières</w:t>
            </w:r>
            <w:r w:rsidR="00BD2484" w:rsidRPr="004E247B">
              <w:rPr>
                <w:b/>
                <w:bCs/>
              </w:rPr>
              <w:t xml:space="preserve"> existe-t-il entre les actions et les obligations ?</w:t>
            </w:r>
            <w:r>
              <w:t xml:space="preserve">  </w:t>
            </w:r>
            <w:r w:rsidR="00BD2484" w:rsidRPr="006B1236">
              <w:rPr>
                <w:i/>
                <w:iCs/>
              </w:rPr>
              <w:t>(</w:t>
            </w:r>
            <w:r w:rsidR="00F25CED">
              <w:rPr>
                <w:i/>
                <w:iCs/>
              </w:rPr>
              <w:t>4</w:t>
            </w:r>
            <w:r w:rsidR="00BD2484" w:rsidRPr="006B1236">
              <w:rPr>
                <w:i/>
                <w:iCs/>
              </w:rPr>
              <w:t xml:space="preserve"> points)</w:t>
            </w:r>
          </w:p>
          <w:p w14:paraId="32217884" w14:textId="77777777" w:rsidR="00B40470" w:rsidRPr="005B259E" w:rsidRDefault="00B40470" w:rsidP="00B40470">
            <w:pPr>
              <w:jc w:val="both"/>
              <w:rPr>
                <w:i/>
                <w:iCs/>
              </w:rPr>
            </w:pPr>
            <w:r>
              <w:rPr>
                <w:i/>
                <w:iCs/>
              </w:rPr>
              <w:t>Sur le plan juridique, l</w:t>
            </w:r>
            <w:r w:rsidRPr="005B259E">
              <w:rPr>
                <w:i/>
                <w:iCs/>
              </w:rPr>
              <w:t xml:space="preserve">es actions et les obligations sont des titres, c’est-à-dire des contrats auxquels sont attachés des droits. </w:t>
            </w:r>
          </w:p>
          <w:p w14:paraId="4919342C" w14:textId="77777777" w:rsidR="00B40470" w:rsidRDefault="00B40470" w:rsidP="00B40470">
            <w:pPr>
              <w:jc w:val="both"/>
              <w:rPr>
                <w:i/>
                <w:iCs/>
              </w:rPr>
            </w:pPr>
            <w:r w:rsidRPr="00FD37B6">
              <w:rPr>
                <w:i/>
                <w:iCs/>
              </w:rPr>
              <w:t>Les actions sont des titres de propriété représentant des parts du capital de l’entreprise. L’entreprise n’a pas à rembourser l’actionnaire. Les obligations sont des titres de créance que l’entreprise doit rembourser à échéance.</w:t>
            </w:r>
          </w:p>
          <w:p w14:paraId="66F35C1E" w14:textId="77777777" w:rsidR="00B40470" w:rsidRPr="00FD37B6" w:rsidRDefault="00B40470" w:rsidP="00B40470">
            <w:pPr>
              <w:jc w:val="both"/>
              <w:rPr>
                <w:i/>
                <w:iCs/>
              </w:rPr>
            </w:pPr>
            <w:r>
              <w:rPr>
                <w:i/>
                <w:iCs/>
              </w:rPr>
              <w:t>Sur le plan financier, c</w:t>
            </w:r>
            <w:r w:rsidRPr="00FD37B6">
              <w:rPr>
                <w:i/>
                <w:iCs/>
              </w:rPr>
              <w:t xml:space="preserve">omme </w:t>
            </w:r>
            <w:r>
              <w:rPr>
                <w:i/>
                <w:iCs/>
              </w:rPr>
              <w:t xml:space="preserve">pour </w:t>
            </w:r>
            <w:r w:rsidRPr="00FD37B6">
              <w:rPr>
                <w:i/>
                <w:iCs/>
              </w:rPr>
              <w:t>tout emprunt, l’obligation fait l’objet d’une rémunération pour le préteur : l’intérêt.</w:t>
            </w:r>
          </w:p>
          <w:p w14:paraId="7BB7F299" w14:textId="553FC0A8" w:rsidR="00E43437" w:rsidRPr="00A517FA" w:rsidRDefault="00B40470" w:rsidP="00E43437">
            <w:pPr>
              <w:jc w:val="both"/>
              <w:rPr>
                <w:i/>
                <w:iCs/>
              </w:rPr>
            </w:pPr>
            <w:r w:rsidRPr="00FD37B6">
              <w:rPr>
                <w:i/>
                <w:iCs/>
              </w:rPr>
              <w:t>Le détenteur d’une action peut prétendre au partage des bénéfices de l’entreprise avec les autres actionnaires</w:t>
            </w:r>
            <w:r>
              <w:rPr>
                <w:i/>
                <w:iCs/>
              </w:rPr>
              <w:t xml:space="preserve"> si l’entreprise dégage des résultats positifs</w:t>
            </w:r>
            <w:r w:rsidRPr="00FD37B6">
              <w:rPr>
                <w:i/>
                <w:iCs/>
              </w:rPr>
              <w:t>. Il est rémunéré sous forme de dividendes. Les dividendes dépendent de la santé financière de l’entreprise.</w:t>
            </w:r>
            <w:r>
              <w:rPr>
                <w:i/>
                <w:iCs/>
              </w:rPr>
              <w:t xml:space="preserve"> Les dividendes sont, par conséquent, variables en fonction de la rentabilité des projets de l’entreprise.</w:t>
            </w:r>
          </w:p>
        </w:tc>
      </w:tr>
      <w:bookmarkEnd w:id="0"/>
      <w:tr w:rsidR="00E74DF3" w:rsidRPr="00B17D88" w14:paraId="150F89DD" w14:textId="77777777" w:rsidTr="009007C0">
        <w:tc>
          <w:tcPr>
            <w:tcW w:w="11178" w:type="dxa"/>
          </w:tcPr>
          <w:p w14:paraId="45775AFD" w14:textId="45AE02B1" w:rsidR="00170FB4" w:rsidRDefault="00AD221D" w:rsidP="00170FB4">
            <w:pPr>
              <w:rPr>
                <w:b/>
                <w:bCs/>
                <w:sz w:val="28"/>
                <w:szCs w:val="28"/>
              </w:rPr>
            </w:pPr>
            <w:r>
              <w:br w:type="page"/>
            </w:r>
            <w:r w:rsidR="009007C0" w:rsidRPr="009007C0">
              <w:rPr>
                <w:b/>
                <w:bCs/>
                <w:color w:val="1F4E79" w:themeColor="accent5" w:themeShade="80"/>
                <w:sz w:val="28"/>
                <w:szCs w:val="28"/>
                <w:u w:val="single"/>
              </w:rPr>
              <w:t>EXERCICE 2</w:t>
            </w:r>
            <w:r w:rsidR="00467CDA">
              <w:rPr>
                <w:b/>
                <w:bCs/>
                <w:color w:val="1F4E79" w:themeColor="accent5" w:themeShade="80"/>
                <w:sz w:val="28"/>
                <w:szCs w:val="28"/>
                <w:u w:val="single"/>
              </w:rPr>
              <w:t xml:space="preserve"> : </w:t>
            </w:r>
            <w:r w:rsidR="00D32DCB" w:rsidRPr="00170FB4">
              <w:rPr>
                <w:b/>
                <w:bCs/>
                <w:color w:val="1F4E79" w:themeColor="accent5" w:themeShade="80"/>
                <w:sz w:val="28"/>
                <w:szCs w:val="28"/>
              </w:rPr>
              <w:t xml:space="preserve">Epreuve composée 1 (modèle EC1 Baccalauréat) : </w:t>
            </w:r>
            <w:r w:rsidR="00170FB4">
              <w:rPr>
                <w:b/>
                <w:bCs/>
                <w:sz w:val="28"/>
                <w:szCs w:val="28"/>
              </w:rPr>
              <w:t>(1</w:t>
            </w:r>
            <w:r w:rsidR="00715616">
              <w:rPr>
                <w:b/>
                <w:bCs/>
                <w:sz w:val="28"/>
                <w:szCs w:val="28"/>
              </w:rPr>
              <w:t>2</w:t>
            </w:r>
            <w:r w:rsidR="00170FB4" w:rsidRPr="009007C0">
              <w:rPr>
                <w:b/>
                <w:bCs/>
                <w:sz w:val="28"/>
                <w:szCs w:val="28"/>
              </w:rPr>
              <w:t xml:space="preserve"> points</w:t>
            </w:r>
            <w:r w:rsidR="00170FB4">
              <w:rPr>
                <w:b/>
                <w:bCs/>
                <w:sz w:val="28"/>
                <w:szCs w:val="28"/>
              </w:rPr>
              <w:t>)</w:t>
            </w:r>
          </w:p>
          <w:p w14:paraId="7CDE8EDC" w14:textId="10E37EC6" w:rsidR="009007C0" w:rsidRDefault="00D3110A" w:rsidP="004E247B">
            <w:pPr>
              <w:jc w:val="both"/>
              <w:rPr>
                <w:i/>
                <w:iCs/>
              </w:rPr>
            </w:pPr>
            <w:r w:rsidRPr="00D3110A">
              <w:rPr>
                <w:b/>
                <w:bCs/>
              </w:rPr>
              <w:t>Montrez qu’une politique de dépenses publiques peut avoir des effets contradictoires sur l’activité.</w:t>
            </w:r>
            <w:r w:rsidR="004E247B">
              <w:t> </w:t>
            </w:r>
            <w:r w:rsidR="004E247B" w:rsidRPr="006B1236">
              <w:rPr>
                <w:i/>
                <w:iCs/>
              </w:rPr>
              <w:t>(</w:t>
            </w:r>
            <w:r w:rsidR="004E247B">
              <w:rPr>
                <w:i/>
                <w:iCs/>
              </w:rPr>
              <w:t>1</w:t>
            </w:r>
            <w:r w:rsidR="005A0D11">
              <w:rPr>
                <w:i/>
                <w:iCs/>
              </w:rPr>
              <w:t>2</w:t>
            </w:r>
            <w:r w:rsidR="004E247B" w:rsidRPr="006B1236">
              <w:rPr>
                <w:i/>
                <w:iCs/>
              </w:rPr>
              <w:t xml:space="preserve"> points)</w:t>
            </w:r>
          </w:p>
          <w:p w14:paraId="2A10AEA2" w14:textId="78D8AC4D" w:rsidR="00B40470" w:rsidRDefault="00B40470" w:rsidP="00B40470">
            <w:pPr>
              <w:jc w:val="both"/>
              <w:rPr>
                <w:i/>
                <w:iCs/>
              </w:rPr>
            </w:pPr>
            <w:r>
              <w:rPr>
                <w:i/>
                <w:iCs/>
              </w:rPr>
              <w:t>Une politique de</w:t>
            </w:r>
            <w:r w:rsidRPr="00BD7E29">
              <w:rPr>
                <w:i/>
                <w:iCs/>
              </w:rPr>
              <w:t xml:space="preserve"> dépenses publiques peut avoir des effets contradictoires</w:t>
            </w:r>
            <w:r>
              <w:rPr>
                <w:i/>
                <w:iCs/>
              </w:rPr>
              <w:t xml:space="preserve"> sur l’activité</w:t>
            </w:r>
            <w:r w:rsidRPr="00BD7E29">
              <w:rPr>
                <w:i/>
                <w:iCs/>
              </w:rPr>
              <w:t xml:space="preserve"> :</w:t>
            </w:r>
            <w:r>
              <w:rPr>
                <w:i/>
                <w:iCs/>
              </w:rPr>
              <w:t xml:space="preserve"> l’effet de relance et l’effet d’éviction.</w:t>
            </w:r>
          </w:p>
          <w:p w14:paraId="245A1152" w14:textId="3FAA0F93" w:rsidR="00B40470" w:rsidRPr="00BD7E29" w:rsidRDefault="00B40470" w:rsidP="00B40470">
            <w:pPr>
              <w:jc w:val="both"/>
              <w:rPr>
                <w:i/>
                <w:iCs/>
              </w:rPr>
            </w:pPr>
            <w:r w:rsidRPr="00BD7E29">
              <w:rPr>
                <w:i/>
                <w:iCs/>
              </w:rPr>
              <w:t xml:space="preserve">- </w:t>
            </w:r>
            <w:r w:rsidRPr="00BD7E29">
              <w:rPr>
                <w:b/>
                <w:bCs/>
                <w:i/>
                <w:iCs/>
                <w:u w:val="single"/>
              </w:rPr>
              <w:t>L'effet de relance</w:t>
            </w:r>
            <w:r>
              <w:rPr>
                <w:b/>
                <w:bCs/>
                <w:i/>
                <w:iCs/>
                <w:u w:val="single"/>
              </w:rPr>
              <w:t xml:space="preserve"> </w:t>
            </w:r>
            <w:r w:rsidRPr="00BD7E29">
              <w:rPr>
                <w:b/>
                <w:bCs/>
                <w:i/>
                <w:iCs/>
                <w:u w:val="single"/>
              </w:rPr>
              <w:t>:</w:t>
            </w:r>
            <w:r w:rsidRPr="00BD7E29">
              <w:rPr>
                <w:i/>
                <w:iCs/>
              </w:rPr>
              <w:t xml:space="preserve"> le déficit budgétaire stimule la demande globale de biens et services (investissement, consommation) car l'Etat augmente ses dépenses (hausse des investissements, des subventions, des prestations sociales...) ou réduit ses recettes (moins d'impôts, de taxes...). Cela qui crée de nouveaux débouchés pour les entreprises, ce qui les incite à investir (nouvelles embauches, achat de nouvelles machines...), ce qui </w:t>
            </w:r>
            <w:r w:rsidR="00850B29" w:rsidRPr="00BD7E29">
              <w:rPr>
                <w:i/>
                <w:iCs/>
              </w:rPr>
              <w:t>génèr</w:t>
            </w:r>
            <w:r w:rsidR="00850B29">
              <w:rPr>
                <w:i/>
                <w:iCs/>
              </w:rPr>
              <w:t>e</w:t>
            </w:r>
            <w:r w:rsidRPr="00BD7E29">
              <w:rPr>
                <w:i/>
                <w:iCs/>
              </w:rPr>
              <w:t xml:space="preserve"> une hausse des revenus au niveau macro-économique. Ceci a pour effet de stimuler la demande globale de biens et services (nouveaux débouchés, nouveaux investissements...).</w:t>
            </w:r>
          </w:p>
          <w:p w14:paraId="2E572EE9" w14:textId="77777777" w:rsidR="00B40470" w:rsidRPr="00BD7E29" w:rsidRDefault="00B40470" w:rsidP="00B40470">
            <w:pPr>
              <w:jc w:val="both"/>
              <w:rPr>
                <w:i/>
                <w:iCs/>
              </w:rPr>
            </w:pPr>
            <w:r w:rsidRPr="00BD7E29">
              <w:rPr>
                <w:i/>
                <w:iCs/>
              </w:rPr>
              <w:t xml:space="preserve">Pour que l'effet de relance puisse être opérationnel, il faut que le déficit budgétaire soit financé par l'emprunt public et non par l'impôt. En effet, si le déficit budgétaire est financé par l'impôt, alors cela aurait un effet négatif sur la consommation et l'investissement, ce qui </w:t>
            </w:r>
            <w:r>
              <w:rPr>
                <w:i/>
                <w:iCs/>
              </w:rPr>
              <w:t>limite</w:t>
            </w:r>
            <w:r w:rsidRPr="00BD7E29">
              <w:rPr>
                <w:i/>
                <w:iCs/>
              </w:rPr>
              <w:t xml:space="preserve"> l'effet de relance.</w:t>
            </w:r>
          </w:p>
          <w:p w14:paraId="61AF7C5B" w14:textId="77777777" w:rsidR="00B40470" w:rsidRDefault="00B40470" w:rsidP="00B40470">
            <w:pPr>
              <w:jc w:val="both"/>
              <w:rPr>
                <w:i/>
                <w:iCs/>
              </w:rPr>
            </w:pPr>
            <w:r w:rsidRPr="00BD7E29">
              <w:rPr>
                <w:i/>
                <w:iCs/>
              </w:rPr>
              <w:t xml:space="preserve">Les Etats ont actionné le mécanisme de l'effet de relance par exemple en 2008 lors de la crise des </w:t>
            </w:r>
            <w:r>
              <w:rPr>
                <w:i/>
                <w:iCs/>
              </w:rPr>
              <w:t>« </w:t>
            </w:r>
            <w:r w:rsidRPr="00BD7E29">
              <w:rPr>
                <w:i/>
                <w:iCs/>
              </w:rPr>
              <w:t>subprimes</w:t>
            </w:r>
            <w:r>
              <w:rPr>
                <w:i/>
                <w:iCs/>
              </w:rPr>
              <w:t> »</w:t>
            </w:r>
            <w:r w:rsidRPr="00BD7E29">
              <w:rPr>
                <w:i/>
                <w:iCs/>
              </w:rPr>
              <w:t xml:space="preserve"> ou en 2021 lors de la pandémie de covid 19. Lors ces crises, les Etats ont massivement augmenté leur déficit budgétaire en soutenant le pouvoir d’achat des ménages ou en réduisant les impôts et cotisations des entreprises. </w:t>
            </w:r>
          </w:p>
          <w:p w14:paraId="2442957D" w14:textId="77777777" w:rsidR="00B40470" w:rsidRDefault="00B40470" w:rsidP="00B40470">
            <w:pPr>
              <w:jc w:val="both"/>
              <w:rPr>
                <w:i/>
                <w:iCs/>
              </w:rPr>
            </w:pPr>
            <w:r w:rsidRPr="00BD7E29">
              <w:rPr>
                <w:i/>
                <w:iCs/>
              </w:rPr>
              <w:t xml:space="preserve">Par exemple, l'Etat français, en 2020 et 2021, a versé des prestations de chômage partiel pour les salariés des entreprises contraintes de limiter leur activité dû aux restrictions sanitaires. </w:t>
            </w:r>
            <w:r>
              <w:rPr>
                <w:i/>
                <w:iCs/>
              </w:rPr>
              <w:t>Ces revenus ont été utilisés pour consommer, ce qui a soutenu la demande de biens et services.</w:t>
            </w:r>
          </w:p>
          <w:p w14:paraId="6CF35517" w14:textId="55B7AE46" w:rsidR="00B40470" w:rsidRDefault="00B40470" w:rsidP="00B40470">
            <w:pPr>
              <w:jc w:val="both"/>
              <w:rPr>
                <w:i/>
                <w:iCs/>
              </w:rPr>
            </w:pPr>
            <w:r w:rsidRPr="00BD7E29">
              <w:rPr>
                <w:i/>
                <w:iCs/>
              </w:rPr>
              <w:t xml:space="preserve">- </w:t>
            </w:r>
            <w:r w:rsidRPr="00BD7E29">
              <w:rPr>
                <w:b/>
                <w:bCs/>
                <w:i/>
                <w:iCs/>
                <w:u w:val="single"/>
              </w:rPr>
              <w:t>L'effet d'éviction :</w:t>
            </w:r>
            <w:r w:rsidRPr="00BD7E29">
              <w:rPr>
                <w:i/>
                <w:iCs/>
              </w:rPr>
              <w:t xml:space="preserve"> le déficit budgétaire est financé par une hausse de l'endettement public et donc par l'émission de nouvelles obligations d'Etat, ce qui augmente la demande </w:t>
            </w:r>
            <w:r>
              <w:rPr>
                <w:i/>
                <w:iCs/>
              </w:rPr>
              <w:t xml:space="preserve">sur le marché </w:t>
            </w:r>
            <w:r w:rsidRPr="00BD7E29">
              <w:rPr>
                <w:i/>
                <w:iCs/>
              </w:rPr>
              <w:t>de</w:t>
            </w:r>
            <w:r>
              <w:rPr>
                <w:i/>
                <w:iCs/>
              </w:rPr>
              <w:t>s</w:t>
            </w:r>
            <w:r w:rsidRPr="00BD7E29">
              <w:rPr>
                <w:i/>
                <w:iCs/>
              </w:rPr>
              <w:t xml:space="preserve"> fonds prêtables</w:t>
            </w:r>
            <w:r>
              <w:rPr>
                <w:i/>
                <w:iCs/>
              </w:rPr>
              <w:t>, ce qui a pour effet la</w:t>
            </w:r>
            <w:r w:rsidRPr="00BD7E29">
              <w:rPr>
                <w:i/>
                <w:iCs/>
              </w:rPr>
              <w:t xml:space="preserve"> hausse des taux d'intérêt. </w:t>
            </w:r>
            <w:r>
              <w:rPr>
                <w:i/>
                <w:iCs/>
              </w:rPr>
              <w:t>Cette hausse du coût de financement</w:t>
            </w:r>
            <w:r w:rsidRPr="00BD7E29">
              <w:rPr>
                <w:i/>
                <w:iCs/>
              </w:rPr>
              <w:t xml:space="preserve"> </w:t>
            </w:r>
            <w:r w:rsidR="00850B29">
              <w:rPr>
                <w:i/>
                <w:iCs/>
              </w:rPr>
              <w:t>génère</w:t>
            </w:r>
            <w:r w:rsidRPr="00BD7E29">
              <w:rPr>
                <w:i/>
                <w:iCs/>
              </w:rPr>
              <w:t xml:space="preserve"> une baisse de l'investissement privé. </w:t>
            </w:r>
          </w:p>
          <w:p w14:paraId="4E143A28" w14:textId="77777777" w:rsidR="00B40470" w:rsidRDefault="00B40470" w:rsidP="00B40470">
            <w:pPr>
              <w:jc w:val="both"/>
              <w:rPr>
                <w:i/>
                <w:iCs/>
              </w:rPr>
            </w:pPr>
            <w:r w:rsidRPr="00BD7E29">
              <w:rPr>
                <w:i/>
                <w:iCs/>
              </w:rPr>
              <w:t>L'Etat est donc en concurrence avec les entreprises sur le</w:t>
            </w:r>
            <w:r>
              <w:rPr>
                <w:i/>
                <w:iCs/>
              </w:rPr>
              <w:t xml:space="preserve">s marchés financiers </w:t>
            </w:r>
            <w:r w:rsidRPr="00BD7E29">
              <w:rPr>
                <w:i/>
                <w:iCs/>
              </w:rPr>
              <w:t>et peut par conséquent évincer les investisseurs privés en besoin de financement.</w:t>
            </w:r>
            <w:r>
              <w:rPr>
                <w:i/>
                <w:iCs/>
              </w:rPr>
              <w:t xml:space="preserve"> </w:t>
            </w:r>
          </w:p>
          <w:p w14:paraId="7907F276" w14:textId="77777777" w:rsidR="00B40470" w:rsidRPr="00BD7E29" w:rsidRDefault="00B40470" w:rsidP="00B40470">
            <w:pPr>
              <w:jc w:val="both"/>
              <w:rPr>
                <w:i/>
                <w:iCs/>
              </w:rPr>
            </w:pPr>
            <w:r w:rsidRPr="00BD7E29">
              <w:rPr>
                <w:i/>
                <w:iCs/>
              </w:rPr>
              <w:t xml:space="preserve">La hausse des taux d'intérêt </w:t>
            </w:r>
            <w:r>
              <w:rPr>
                <w:i/>
                <w:iCs/>
              </w:rPr>
              <w:t>ne se limite pas aux</w:t>
            </w:r>
            <w:r w:rsidRPr="00BD7E29">
              <w:rPr>
                <w:i/>
                <w:iCs/>
              </w:rPr>
              <w:t xml:space="preserve"> marchés financiers</w:t>
            </w:r>
            <w:r>
              <w:rPr>
                <w:i/>
                <w:iCs/>
              </w:rPr>
              <w:t xml:space="preserve">, elle se transmet </w:t>
            </w:r>
            <w:r w:rsidRPr="00BD7E29">
              <w:rPr>
                <w:i/>
                <w:iCs/>
              </w:rPr>
              <w:t>taux d'intérêts des emprunts bancaires</w:t>
            </w:r>
            <w:r>
              <w:rPr>
                <w:i/>
                <w:iCs/>
              </w:rPr>
              <w:t xml:space="preserve"> puisque les banques se refinancent sur ces marchés</w:t>
            </w:r>
            <w:r w:rsidRPr="00BD7E29">
              <w:rPr>
                <w:i/>
                <w:iCs/>
              </w:rPr>
              <w:t>. Cela pénalise</w:t>
            </w:r>
            <w:r>
              <w:rPr>
                <w:i/>
                <w:iCs/>
              </w:rPr>
              <w:t>,</w:t>
            </w:r>
            <w:r w:rsidRPr="00BD7E29">
              <w:rPr>
                <w:i/>
                <w:iCs/>
              </w:rPr>
              <w:t xml:space="preserve"> donc</w:t>
            </w:r>
            <w:r>
              <w:rPr>
                <w:i/>
                <w:iCs/>
              </w:rPr>
              <w:t>,</w:t>
            </w:r>
            <w:r w:rsidRPr="00BD7E29">
              <w:rPr>
                <w:i/>
                <w:iCs/>
              </w:rPr>
              <w:t xml:space="preserve"> également les petites et moyennes entreprises et les ménages</w:t>
            </w:r>
            <w:r>
              <w:rPr>
                <w:i/>
                <w:iCs/>
              </w:rPr>
              <w:t xml:space="preserve"> car le coût des crédits augmente</w:t>
            </w:r>
            <w:r w:rsidRPr="00BD7E29">
              <w:rPr>
                <w:i/>
                <w:iCs/>
              </w:rPr>
              <w:t>.</w:t>
            </w:r>
          </w:p>
          <w:p w14:paraId="40ED8237" w14:textId="77777777" w:rsidR="00B40470" w:rsidRPr="00BD7E29" w:rsidRDefault="00B40470" w:rsidP="00B40470">
            <w:pPr>
              <w:jc w:val="both"/>
              <w:rPr>
                <w:i/>
                <w:iCs/>
              </w:rPr>
            </w:pPr>
            <w:r w:rsidRPr="00BD7E29">
              <w:rPr>
                <w:i/>
                <w:iCs/>
              </w:rPr>
              <w:t xml:space="preserve">Par ailleurs, </w:t>
            </w:r>
            <w:r>
              <w:rPr>
                <w:i/>
                <w:iCs/>
              </w:rPr>
              <w:t>l’effet d’éviction est accentué par le choix d</w:t>
            </w:r>
            <w:r w:rsidRPr="00BD7E29">
              <w:rPr>
                <w:i/>
                <w:iCs/>
              </w:rPr>
              <w:t>es épargnants</w:t>
            </w:r>
            <w:r>
              <w:rPr>
                <w:i/>
                <w:iCs/>
              </w:rPr>
              <w:t xml:space="preserve"> d’acheter des titres publics plutôt que des titres des entreprises car ces derniers sont </w:t>
            </w:r>
            <w:r w:rsidRPr="00BD7E29">
              <w:rPr>
                <w:i/>
                <w:iCs/>
              </w:rPr>
              <w:t xml:space="preserve">jugés </w:t>
            </w:r>
            <w:r>
              <w:rPr>
                <w:i/>
                <w:iCs/>
              </w:rPr>
              <w:t>plus</w:t>
            </w:r>
            <w:r w:rsidRPr="00BD7E29">
              <w:rPr>
                <w:i/>
                <w:iCs/>
              </w:rPr>
              <w:t xml:space="preserve"> risqués, en particulier lors d'une récession.</w:t>
            </w:r>
          </w:p>
          <w:p w14:paraId="0F6E49BD" w14:textId="7CC8D23E" w:rsidR="005C4FAC" w:rsidRPr="004E247B" w:rsidRDefault="00B40470" w:rsidP="002278CC">
            <w:pPr>
              <w:jc w:val="both"/>
            </w:pPr>
            <w:r w:rsidRPr="00BD7E29">
              <w:rPr>
                <w:i/>
                <w:iCs/>
              </w:rPr>
              <w:t>Au final, la hausse des dépenses publiques tend peut-être d'un côté à stimuler la demande, mais le surcroit de dette nécessaire pour la financer tend peut-être au contraire à la déprimer, si bien que l'effet net sur la demande pourrait au final être nul, voire négatif</w:t>
            </w:r>
            <w:r>
              <w:rPr>
                <w:i/>
                <w:iCs/>
              </w:rPr>
              <w:t>.</w:t>
            </w:r>
          </w:p>
        </w:tc>
      </w:tr>
    </w:tbl>
    <w:p w14:paraId="41715D92" w14:textId="1DE8CF83" w:rsidR="0080413F" w:rsidRDefault="0080413F" w:rsidP="002278CC"/>
    <w:sectPr w:rsidR="0080413F" w:rsidSect="00575EB8">
      <w:footerReference w:type="default" r:id="rId8"/>
      <w:pgSz w:w="11906" w:h="16838"/>
      <w:pgMar w:top="289" w:right="397" w:bottom="295" w:left="28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9A927" w14:textId="77777777" w:rsidR="00240C19" w:rsidRDefault="00240C19" w:rsidP="00BC3D8B">
      <w:pPr>
        <w:spacing w:after="0" w:line="240" w:lineRule="auto"/>
      </w:pPr>
      <w:r>
        <w:separator/>
      </w:r>
    </w:p>
  </w:endnote>
  <w:endnote w:type="continuationSeparator" w:id="0">
    <w:p w14:paraId="447BAA15" w14:textId="77777777" w:rsidR="00240C19" w:rsidRDefault="00240C19" w:rsidP="00BC3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165471736" w:displacedByCustomXml="next"/>
  <w:bookmarkStart w:id="2" w:name="_Hlk165472125" w:displacedByCustomXml="next"/>
  <w:bookmarkStart w:id="3" w:name="_Hlk165472126" w:displacedByCustomXml="next"/>
  <w:bookmarkStart w:id="4" w:name="_Hlk165472198" w:displacedByCustomXml="next"/>
  <w:bookmarkStart w:id="5" w:name="_Hlk165472199" w:displacedByCustomXml="next"/>
  <w:sdt>
    <w:sdtPr>
      <w:id w:val="2083875021"/>
      <w:docPartObj>
        <w:docPartGallery w:val="Page Numbers (Bottom of Page)"/>
        <w:docPartUnique/>
      </w:docPartObj>
    </w:sdtPr>
    <w:sdtContent>
      <w:p w14:paraId="411C2BB7" w14:textId="2FD63968" w:rsidR="00406F15" w:rsidRDefault="00406F15" w:rsidP="00406F15">
        <w:pPr>
          <w:pStyle w:val="Pieddepage"/>
        </w:pPr>
        <w:r>
          <w:t xml:space="preserve">SES/KASSMI </w:t>
        </w:r>
        <w:r>
          <w:tab/>
          <w:t xml:space="preserve">                                       </w:t>
        </w:r>
        <w:fldSimple w:instr=" FILENAME \* MERGEFORMAT ">
          <w:r w:rsidR="00C9079F">
            <w:rPr>
              <w:noProof/>
            </w:rPr>
            <w:t>Premiere FINANCEMENT-DS-V1C</w:t>
          </w:r>
        </w:fldSimple>
        <w:r>
          <w:tab/>
          <w:t xml:space="preserve">   </w:t>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1</w:t>
        </w:r>
        <w:r>
          <w:rPr>
            <w:b/>
            <w:bCs/>
          </w:rPr>
          <w:fldChar w:fldCharType="end"/>
        </w:r>
      </w:p>
    </w:sdtContent>
  </w:sdt>
  <w:bookmarkEnd w:id="5"/>
  <w:bookmarkEnd w:id="4"/>
  <w:bookmarkEnd w:id="3"/>
  <w:bookmarkEnd w:id="2"/>
  <w:bookmarkEnd w:id="1"/>
  <w:p w14:paraId="06FF21AD" w14:textId="77777777" w:rsidR="00BC3D8B" w:rsidRDefault="00BC3D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DD0B2" w14:textId="77777777" w:rsidR="00240C19" w:rsidRDefault="00240C19" w:rsidP="00BC3D8B">
      <w:pPr>
        <w:spacing w:after="0" w:line="240" w:lineRule="auto"/>
      </w:pPr>
      <w:r>
        <w:separator/>
      </w:r>
    </w:p>
  </w:footnote>
  <w:footnote w:type="continuationSeparator" w:id="0">
    <w:p w14:paraId="7258500B" w14:textId="77777777" w:rsidR="00240C19" w:rsidRDefault="00240C19" w:rsidP="00BC3D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F0F49"/>
    <w:multiLevelType w:val="hybridMultilevel"/>
    <w:tmpl w:val="7FBA8344"/>
    <w:lvl w:ilvl="0" w:tplc="D4402BC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43674A8"/>
    <w:multiLevelType w:val="hybridMultilevel"/>
    <w:tmpl w:val="1AA24262"/>
    <w:lvl w:ilvl="0" w:tplc="6D549FF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FC42C47"/>
    <w:multiLevelType w:val="hybridMultilevel"/>
    <w:tmpl w:val="607253AC"/>
    <w:lvl w:ilvl="0" w:tplc="853A64EE">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C525AE"/>
    <w:multiLevelType w:val="hybridMultilevel"/>
    <w:tmpl w:val="12B04284"/>
    <w:lvl w:ilvl="0" w:tplc="10D62C7E">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3D3A54"/>
    <w:multiLevelType w:val="hybridMultilevel"/>
    <w:tmpl w:val="057A6274"/>
    <w:lvl w:ilvl="0" w:tplc="7A96415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354728"/>
    <w:multiLevelType w:val="hybridMultilevel"/>
    <w:tmpl w:val="4078C960"/>
    <w:lvl w:ilvl="0" w:tplc="F21845FC">
      <w:numFmt w:val="bullet"/>
      <w:lvlText w:val="-"/>
      <w:lvlJc w:val="left"/>
      <w:pPr>
        <w:ind w:left="720" w:hanging="360"/>
      </w:pPr>
      <w:rPr>
        <w:rFonts w:ascii="Calibri" w:eastAsiaTheme="minorHAnsi" w:hAnsi="Calibri" w:cs="Calibr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6C2F40"/>
    <w:multiLevelType w:val="hybridMultilevel"/>
    <w:tmpl w:val="D690E46C"/>
    <w:lvl w:ilvl="0" w:tplc="2A88FAB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8870298">
    <w:abstractNumId w:val="1"/>
  </w:num>
  <w:num w:numId="2" w16cid:durableId="1973945592">
    <w:abstractNumId w:val="4"/>
  </w:num>
  <w:num w:numId="3" w16cid:durableId="1314094132">
    <w:abstractNumId w:val="3"/>
  </w:num>
  <w:num w:numId="4" w16cid:durableId="775054833">
    <w:abstractNumId w:val="6"/>
  </w:num>
  <w:num w:numId="5" w16cid:durableId="1763335986">
    <w:abstractNumId w:val="2"/>
  </w:num>
  <w:num w:numId="6" w16cid:durableId="1716194760">
    <w:abstractNumId w:val="0"/>
  </w:num>
  <w:num w:numId="7" w16cid:durableId="8055883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CD3"/>
    <w:rsid w:val="00015265"/>
    <w:rsid w:val="000176AB"/>
    <w:rsid w:val="00017A85"/>
    <w:rsid w:val="0003103B"/>
    <w:rsid w:val="00031E29"/>
    <w:rsid w:val="00056A7E"/>
    <w:rsid w:val="000705BE"/>
    <w:rsid w:val="00074BD7"/>
    <w:rsid w:val="00084FF3"/>
    <w:rsid w:val="0008793C"/>
    <w:rsid w:val="000C5D61"/>
    <w:rsid w:val="000C7733"/>
    <w:rsid w:val="000E2A74"/>
    <w:rsid w:val="000E699D"/>
    <w:rsid w:val="000F5E92"/>
    <w:rsid w:val="00101AB1"/>
    <w:rsid w:val="00111145"/>
    <w:rsid w:val="0012106B"/>
    <w:rsid w:val="00125EF3"/>
    <w:rsid w:val="00146FA3"/>
    <w:rsid w:val="00162C08"/>
    <w:rsid w:val="0017042A"/>
    <w:rsid w:val="00170723"/>
    <w:rsid w:val="00170FB4"/>
    <w:rsid w:val="00171D7F"/>
    <w:rsid w:val="001832CC"/>
    <w:rsid w:val="001A4781"/>
    <w:rsid w:val="001B1F0B"/>
    <w:rsid w:val="001C6593"/>
    <w:rsid w:val="001D096B"/>
    <w:rsid w:val="00220311"/>
    <w:rsid w:val="0022378F"/>
    <w:rsid w:val="002278CC"/>
    <w:rsid w:val="002400C0"/>
    <w:rsid w:val="00240C19"/>
    <w:rsid w:val="00247116"/>
    <w:rsid w:val="00261C8E"/>
    <w:rsid w:val="002721B8"/>
    <w:rsid w:val="00287FBA"/>
    <w:rsid w:val="002E15B3"/>
    <w:rsid w:val="002E3C73"/>
    <w:rsid w:val="002F295D"/>
    <w:rsid w:val="002F5722"/>
    <w:rsid w:val="002F6F06"/>
    <w:rsid w:val="003144D7"/>
    <w:rsid w:val="00327CD3"/>
    <w:rsid w:val="00353DFD"/>
    <w:rsid w:val="00353EDB"/>
    <w:rsid w:val="00363F32"/>
    <w:rsid w:val="00391A62"/>
    <w:rsid w:val="003A01F6"/>
    <w:rsid w:val="003A0595"/>
    <w:rsid w:val="003C4021"/>
    <w:rsid w:val="003C6E2B"/>
    <w:rsid w:val="00406F15"/>
    <w:rsid w:val="00411835"/>
    <w:rsid w:val="00421228"/>
    <w:rsid w:val="0042409F"/>
    <w:rsid w:val="004458AF"/>
    <w:rsid w:val="004517CD"/>
    <w:rsid w:val="00467CDA"/>
    <w:rsid w:val="004C3D19"/>
    <w:rsid w:val="004D381B"/>
    <w:rsid w:val="004D7B54"/>
    <w:rsid w:val="004E247B"/>
    <w:rsid w:val="004F5FEB"/>
    <w:rsid w:val="00525A5F"/>
    <w:rsid w:val="00550DF7"/>
    <w:rsid w:val="00571F17"/>
    <w:rsid w:val="00575EB8"/>
    <w:rsid w:val="005A0D11"/>
    <w:rsid w:val="005A1CB5"/>
    <w:rsid w:val="005A76E0"/>
    <w:rsid w:val="005C4FAC"/>
    <w:rsid w:val="005E254B"/>
    <w:rsid w:val="00607F1A"/>
    <w:rsid w:val="00647E79"/>
    <w:rsid w:val="00656CA4"/>
    <w:rsid w:val="00662A76"/>
    <w:rsid w:val="00673EC6"/>
    <w:rsid w:val="00687991"/>
    <w:rsid w:val="006B1236"/>
    <w:rsid w:val="006C28AD"/>
    <w:rsid w:val="006C575A"/>
    <w:rsid w:val="006C5E3B"/>
    <w:rsid w:val="006D7DA1"/>
    <w:rsid w:val="006F47A6"/>
    <w:rsid w:val="00705B99"/>
    <w:rsid w:val="00715616"/>
    <w:rsid w:val="00764E8A"/>
    <w:rsid w:val="007666B9"/>
    <w:rsid w:val="007709F6"/>
    <w:rsid w:val="007866FD"/>
    <w:rsid w:val="007A4ADA"/>
    <w:rsid w:val="007A6FEB"/>
    <w:rsid w:val="007C13B3"/>
    <w:rsid w:val="007D5829"/>
    <w:rsid w:val="007D6FA2"/>
    <w:rsid w:val="007D78C6"/>
    <w:rsid w:val="007E5B9D"/>
    <w:rsid w:val="007F28C1"/>
    <w:rsid w:val="007F7150"/>
    <w:rsid w:val="0080413F"/>
    <w:rsid w:val="00805E7D"/>
    <w:rsid w:val="00845930"/>
    <w:rsid w:val="00850B29"/>
    <w:rsid w:val="008734CA"/>
    <w:rsid w:val="008B1CA3"/>
    <w:rsid w:val="008C63C3"/>
    <w:rsid w:val="008D3D1E"/>
    <w:rsid w:val="008E6192"/>
    <w:rsid w:val="008F51CA"/>
    <w:rsid w:val="009007C0"/>
    <w:rsid w:val="00937C18"/>
    <w:rsid w:val="00943F41"/>
    <w:rsid w:val="0096243E"/>
    <w:rsid w:val="00982C6C"/>
    <w:rsid w:val="009E5609"/>
    <w:rsid w:val="00A16EE5"/>
    <w:rsid w:val="00A31638"/>
    <w:rsid w:val="00A413C8"/>
    <w:rsid w:val="00A421C0"/>
    <w:rsid w:val="00A517FA"/>
    <w:rsid w:val="00A553B5"/>
    <w:rsid w:val="00A73AA7"/>
    <w:rsid w:val="00A9052B"/>
    <w:rsid w:val="00A9309F"/>
    <w:rsid w:val="00AA1A13"/>
    <w:rsid w:val="00AC3070"/>
    <w:rsid w:val="00AD221D"/>
    <w:rsid w:val="00B03D38"/>
    <w:rsid w:val="00B17BD9"/>
    <w:rsid w:val="00B17D88"/>
    <w:rsid w:val="00B40470"/>
    <w:rsid w:val="00B40DD9"/>
    <w:rsid w:val="00B435E9"/>
    <w:rsid w:val="00BA3592"/>
    <w:rsid w:val="00BC3D8B"/>
    <w:rsid w:val="00BD2484"/>
    <w:rsid w:val="00C06970"/>
    <w:rsid w:val="00C07CDC"/>
    <w:rsid w:val="00C153A4"/>
    <w:rsid w:val="00C671CF"/>
    <w:rsid w:val="00C85606"/>
    <w:rsid w:val="00C8691F"/>
    <w:rsid w:val="00C9079F"/>
    <w:rsid w:val="00CD4C96"/>
    <w:rsid w:val="00CE15B7"/>
    <w:rsid w:val="00CF175D"/>
    <w:rsid w:val="00CF26F4"/>
    <w:rsid w:val="00D26145"/>
    <w:rsid w:val="00D26AAB"/>
    <w:rsid w:val="00D3110A"/>
    <w:rsid w:val="00D32A40"/>
    <w:rsid w:val="00D32DCB"/>
    <w:rsid w:val="00D402D5"/>
    <w:rsid w:val="00D417EF"/>
    <w:rsid w:val="00D46F1A"/>
    <w:rsid w:val="00D6256B"/>
    <w:rsid w:val="00D95BDE"/>
    <w:rsid w:val="00DA0D0A"/>
    <w:rsid w:val="00DB2332"/>
    <w:rsid w:val="00DD516F"/>
    <w:rsid w:val="00DE1EBB"/>
    <w:rsid w:val="00E016AF"/>
    <w:rsid w:val="00E16FCC"/>
    <w:rsid w:val="00E433FC"/>
    <w:rsid w:val="00E43437"/>
    <w:rsid w:val="00E4795A"/>
    <w:rsid w:val="00E51B8D"/>
    <w:rsid w:val="00E744B6"/>
    <w:rsid w:val="00E74DF3"/>
    <w:rsid w:val="00EB7AF2"/>
    <w:rsid w:val="00EC083C"/>
    <w:rsid w:val="00F07544"/>
    <w:rsid w:val="00F11476"/>
    <w:rsid w:val="00F25B64"/>
    <w:rsid w:val="00F25CED"/>
    <w:rsid w:val="00F369D3"/>
    <w:rsid w:val="00F54FC4"/>
    <w:rsid w:val="00F77D00"/>
    <w:rsid w:val="00F831C8"/>
    <w:rsid w:val="00FC0FDE"/>
    <w:rsid w:val="00FD1411"/>
    <w:rsid w:val="00FE63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F955A"/>
  <w15:chartTrackingRefBased/>
  <w15:docId w15:val="{8D254884-3B35-4AD9-B37F-DE80C5C5A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13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1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D4C96"/>
    <w:pPr>
      <w:ind w:left="720"/>
      <w:contextualSpacing/>
    </w:pPr>
  </w:style>
  <w:style w:type="paragraph" w:styleId="En-tte">
    <w:name w:val="header"/>
    <w:basedOn w:val="Normal"/>
    <w:link w:val="En-tteCar"/>
    <w:uiPriority w:val="99"/>
    <w:unhideWhenUsed/>
    <w:rsid w:val="00BC3D8B"/>
    <w:pPr>
      <w:tabs>
        <w:tab w:val="center" w:pos="4536"/>
        <w:tab w:val="right" w:pos="9072"/>
      </w:tabs>
      <w:spacing w:after="0" w:line="240" w:lineRule="auto"/>
    </w:pPr>
  </w:style>
  <w:style w:type="character" w:customStyle="1" w:styleId="En-tteCar">
    <w:name w:val="En-tête Car"/>
    <w:basedOn w:val="Policepardfaut"/>
    <w:link w:val="En-tte"/>
    <w:uiPriority w:val="99"/>
    <w:rsid w:val="00BC3D8B"/>
  </w:style>
  <w:style w:type="paragraph" w:styleId="Pieddepage">
    <w:name w:val="footer"/>
    <w:basedOn w:val="Normal"/>
    <w:link w:val="PieddepageCar"/>
    <w:uiPriority w:val="99"/>
    <w:unhideWhenUsed/>
    <w:rsid w:val="00BC3D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3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475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7F0F7-C7EE-4695-978E-85399EB30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925</Words>
  <Characters>5092</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KASSMI</dc:creator>
  <cp:keywords/>
  <dc:description/>
  <cp:lastModifiedBy>Ahmed KASSMI</cp:lastModifiedBy>
  <cp:revision>21</cp:revision>
  <cp:lastPrinted>2024-10-28T10:43:00Z</cp:lastPrinted>
  <dcterms:created xsi:type="dcterms:W3CDTF">2022-11-10T17:29:00Z</dcterms:created>
  <dcterms:modified xsi:type="dcterms:W3CDTF">2024-10-28T10:44:00Z</dcterms:modified>
</cp:coreProperties>
</file>